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F0" w:rsidRPr="00455AF0" w:rsidRDefault="00455AF0" w:rsidP="00455AF0">
      <w:pPr>
        <w:pStyle w:val="pc"/>
        <w:spacing w:before="0" w:beforeAutospacing="0" w:after="199" w:afterAutospacing="0" w:line="540" w:lineRule="atLeast"/>
        <w:jc w:val="both"/>
        <w:textAlignment w:val="baseline"/>
        <w:rPr>
          <w:b/>
          <w:bCs/>
          <w:sz w:val="28"/>
          <w:szCs w:val="28"/>
        </w:rPr>
      </w:pPr>
      <w:r w:rsidRPr="00455AF0">
        <w:rPr>
          <w:b/>
          <w:bCs/>
          <w:sz w:val="28"/>
          <w:szCs w:val="28"/>
        </w:rPr>
        <w:t>МИНИСТЕРСТВО СТРОИТЕЛЬСТВА И ЖИЛИЩНО-КОММУНАЛЬНОГО</w:t>
      </w:r>
      <w:r w:rsidRPr="00455AF0">
        <w:rPr>
          <w:b/>
          <w:bCs/>
          <w:sz w:val="28"/>
          <w:szCs w:val="28"/>
        </w:rPr>
        <w:br/>
        <w:t>ХОЗЯЙСТВА РОССИЙСКОЙ ФЕДЕРАЦИИ</w:t>
      </w:r>
    </w:p>
    <w:p w:rsidR="00455AF0" w:rsidRPr="00455AF0" w:rsidRDefault="00455AF0" w:rsidP="00455AF0">
      <w:pPr>
        <w:pStyle w:val="pc"/>
        <w:spacing w:before="0" w:beforeAutospacing="0" w:after="199" w:afterAutospacing="0" w:line="540" w:lineRule="atLeast"/>
        <w:jc w:val="both"/>
        <w:textAlignment w:val="baseline"/>
        <w:rPr>
          <w:b/>
          <w:bCs/>
          <w:sz w:val="28"/>
          <w:szCs w:val="28"/>
        </w:rPr>
      </w:pPr>
      <w:r w:rsidRPr="00455AF0">
        <w:rPr>
          <w:b/>
          <w:bCs/>
          <w:sz w:val="28"/>
          <w:szCs w:val="28"/>
        </w:rPr>
        <w:t>ПИСЬМО</w:t>
      </w:r>
      <w:r w:rsidRPr="00455AF0">
        <w:rPr>
          <w:b/>
          <w:bCs/>
          <w:sz w:val="28"/>
          <w:szCs w:val="28"/>
        </w:rPr>
        <w:br/>
        <w:t>от 21 января 2022 г. N 999-ОГ/16</w:t>
      </w:r>
    </w:p>
    <w:p w:rsidR="00455AF0" w:rsidRPr="00455AF0" w:rsidRDefault="00455AF0" w:rsidP="00455AF0">
      <w:pPr>
        <w:pStyle w:val="a3"/>
        <w:spacing w:before="0" w:beforeAutospacing="0" w:after="199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 xml:space="preserve">Отдел </w:t>
      </w:r>
      <w:proofErr w:type="gramStart"/>
      <w:r w:rsidRPr="00455AF0">
        <w:rPr>
          <w:sz w:val="28"/>
          <w:szCs w:val="28"/>
        </w:rPr>
        <w:t>контроля за</w:t>
      </w:r>
      <w:proofErr w:type="gramEnd"/>
      <w:r w:rsidRPr="00455AF0">
        <w:rPr>
          <w:sz w:val="28"/>
          <w:szCs w:val="28"/>
        </w:rPr>
        <w:t xml:space="preserve"> деятельностью органов государственного жилищного надзора Департамента развития жилищно-коммунального хозяйства Минстроя России рассмотрел обращение, поступившее письмом Минэкономразвития России, и в рамках своей компетенции сообщает.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Согласно пункту 6 статьи </w:t>
      </w:r>
      <w:hyperlink r:id="rId5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 Жилищного кодекса Российской Федерации</w:t>
        </w:r>
      </w:hyperlink>
      <w:r w:rsidRPr="00455AF0">
        <w:rPr>
          <w:sz w:val="28"/>
          <w:szCs w:val="28"/>
        </w:rPr>
        <w:t> (далее - </w:t>
      </w:r>
      <w:hyperlink r:id="rId6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ЖК РФ</w:t>
        </w:r>
      </w:hyperlink>
      <w:r w:rsidRPr="00455AF0">
        <w:rPr>
          <w:sz w:val="28"/>
          <w:szCs w:val="28"/>
        </w:rPr>
        <w:t xml:space="preserve">)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в том числе обеспечивают </w:t>
      </w:r>
      <w:proofErr w:type="gramStart"/>
      <w:r w:rsidRPr="00455AF0">
        <w:rPr>
          <w:sz w:val="28"/>
          <w:szCs w:val="28"/>
        </w:rPr>
        <w:t>контроль за</w:t>
      </w:r>
      <w:proofErr w:type="gramEnd"/>
      <w:r w:rsidRPr="00455AF0">
        <w:rPr>
          <w:sz w:val="28"/>
          <w:szCs w:val="28"/>
        </w:rPr>
        <w:t xml:space="preserve"> использованием и сохранностью жилищного фонда.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В силу пункта 9 части 1 статьи </w:t>
      </w:r>
      <w:hyperlink r:id="rId7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14 ЖК РФ</w:t>
        </w:r>
      </w:hyperlink>
      <w:r w:rsidRPr="00455AF0">
        <w:rPr>
          <w:sz w:val="28"/>
          <w:szCs w:val="28"/>
        </w:rPr>
        <w:t xml:space="preserve"> к полномочиям органов местного самоуправления в области жилищных отношений относятся осуществление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Pr="00455AF0">
        <w:rPr>
          <w:sz w:val="28"/>
          <w:szCs w:val="28"/>
        </w:rPr>
        <w:t>фонда</w:t>
      </w:r>
      <w:proofErr w:type="gramEnd"/>
      <w:r w:rsidRPr="00455AF0">
        <w:rPr>
          <w:sz w:val="28"/>
          <w:szCs w:val="28"/>
        </w:rPr>
        <w:t xml:space="preserve"> установленным санитарным и техническим правилам и нормам, иным требованиям законодательства.</w:t>
      </w:r>
    </w:p>
    <w:p w:rsidR="00455AF0" w:rsidRPr="00455AF0" w:rsidRDefault="00455AF0" w:rsidP="00455AF0">
      <w:pPr>
        <w:pStyle w:val="a3"/>
        <w:spacing w:before="0" w:beforeAutospacing="0" w:after="199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 xml:space="preserve">Таким образом, функции по осуществлению </w:t>
      </w:r>
      <w:proofErr w:type="gramStart"/>
      <w:r w:rsidRPr="00455AF0">
        <w:rPr>
          <w:sz w:val="28"/>
          <w:szCs w:val="28"/>
        </w:rPr>
        <w:t>контроля за</w:t>
      </w:r>
      <w:proofErr w:type="gramEnd"/>
      <w:r w:rsidRPr="00455AF0">
        <w:rPr>
          <w:sz w:val="28"/>
          <w:szCs w:val="28"/>
        </w:rPr>
        <w:t xml:space="preserve"> использованием и сохранностью муниципального жилищного фонда относятся к функциям органов местного самоуправления.</w:t>
      </w:r>
    </w:p>
    <w:p w:rsidR="00455AF0" w:rsidRPr="00455AF0" w:rsidRDefault="00455AF0" w:rsidP="00455AF0">
      <w:pPr>
        <w:pStyle w:val="a3"/>
        <w:spacing w:before="0" w:beforeAutospacing="0" w:after="199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Муниципальный жилищный контроль является самостоятельным видом деятельности.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В соответствии с подпунктом 3 части 2 статьи </w:t>
      </w:r>
      <w:hyperlink r:id="rId8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19 ЖК РФ</w:t>
        </w:r>
      </w:hyperlink>
      <w:r w:rsidRPr="00455AF0">
        <w:rPr>
          <w:sz w:val="28"/>
          <w:szCs w:val="28"/>
        </w:rPr>
        <w:t> муниципальный жилищный фонд - совокупность жилых помещений, принадлежащих на праве собственности муниципальным образованиям.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Так, в соответствии с действующей редакцией части 4 статьи </w:t>
      </w:r>
      <w:hyperlink r:id="rId9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20 ЖК РФ</w:t>
        </w:r>
      </w:hyperlink>
      <w:r w:rsidRPr="00455AF0">
        <w:rPr>
          <w:sz w:val="28"/>
          <w:szCs w:val="28"/>
        </w:rPr>
        <w:t> предметом государственного жилищного надзора и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1 - 11 части 1 статьи </w:t>
      </w:r>
      <w:hyperlink r:id="rId10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20 ЖК РФ</w:t>
        </w:r>
      </w:hyperlink>
      <w:r w:rsidRPr="00455AF0">
        <w:rPr>
          <w:sz w:val="28"/>
          <w:szCs w:val="28"/>
        </w:rPr>
        <w:t>.</w:t>
      </w:r>
    </w:p>
    <w:p w:rsidR="00455AF0" w:rsidRPr="00455AF0" w:rsidRDefault="00455AF0" w:rsidP="00455AF0">
      <w:pPr>
        <w:pStyle w:val="a3"/>
        <w:spacing w:before="0" w:beforeAutospacing="0" w:after="199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Таким образом, указанные положения устанавливают самостоятельное право проведения проверок органами государственного жилищного надзора в отношении жилищного фонда, и муниципального жилищного контроля, осуществляемого в отношении муниципального жилищного фонда.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 xml:space="preserve">На основании вышеизложенного, в случае если в многоквартирном доме все жилые помещения относятся к муниципальному жилищному фонду, то органы местного самоуправления вправе проводить </w:t>
      </w:r>
      <w:proofErr w:type="gramStart"/>
      <w:r w:rsidRPr="00455AF0">
        <w:rPr>
          <w:sz w:val="28"/>
          <w:szCs w:val="28"/>
        </w:rPr>
        <w:t>проверку</w:t>
      </w:r>
      <w:proofErr w:type="gramEnd"/>
      <w:r w:rsidRPr="00455AF0">
        <w:rPr>
          <w:sz w:val="28"/>
          <w:szCs w:val="28"/>
        </w:rPr>
        <w:t xml:space="preserve"> как этих </w:t>
      </w:r>
      <w:r w:rsidRPr="00455AF0">
        <w:rPr>
          <w:sz w:val="28"/>
          <w:szCs w:val="28"/>
        </w:rPr>
        <w:lastRenderedPageBreak/>
        <w:t>помещений, так и общего имущества в таком доме, согласно части 1.1 статьи </w:t>
      </w:r>
      <w:hyperlink r:id="rId11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20 ЖК РФ</w:t>
        </w:r>
      </w:hyperlink>
      <w:r w:rsidRPr="00455AF0">
        <w:rPr>
          <w:sz w:val="28"/>
          <w:szCs w:val="28"/>
        </w:rPr>
        <w:t>. В том случае, если в многоквартирном доме одно или несколько (но не все) жилых помещений относятся к муниципальному жилищному фонду, то органы местного самоуправления вправе проводить проверку только этих жилых помещений. При этом проверку общего имущества в таком доме, согласно части 1.1 статьи </w:t>
      </w:r>
      <w:hyperlink r:id="rId12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20 ЖК РФ</w:t>
        </w:r>
      </w:hyperlink>
      <w:r w:rsidRPr="00455AF0">
        <w:rPr>
          <w:sz w:val="28"/>
          <w:szCs w:val="28"/>
        </w:rPr>
        <w:t>, проводят органы государственного жилищного надзора.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Положения статьи </w:t>
      </w:r>
      <w:hyperlink r:id="rId13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20 ЖК РФ</w:t>
        </w:r>
      </w:hyperlink>
      <w:r w:rsidRPr="00455AF0">
        <w:rPr>
          <w:sz w:val="28"/>
          <w:szCs w:val="28"/>
        </w:rPr>
        <w:t> не устанавливают запрет на такой контроль в отношении управляющих организаций, управляющих многоквартирными домами по лицензии.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С 1 июля 2021 г. внеплановые проверки статьей </w:t>
      </w:r>
      <w:r w:rsidR="003264F7">
        <w:rPr>
          <w:sz w:val="28"/>
          <w:szCs w:val="28"/>
        </w:rPr>
        <w:t xml:space="preserve"> </w:t>
      </w:r>
      <w:hyperlink r:id="rId14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20 ЖК РФ</w:t>
        </w:r>
      </w:hyperlink>
      <w:r w:rsidRPr="00455AF0">
        <w:rPr>
          <w:sz w:val="28"/>
          <w:szCs w:val="28"/>
        </w:rPr>
        <w:t> не предусмотрены.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455AF0">
        <w:rPr>
          <w:sz w:val="28"/>
          <w:szCs w:val="28"/>
        </w:rPr>
        <w:t>В соответствии с частью 13 статьи </w:t>
      </w:r>
      <w:hyperlink r:id="rId15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20 ЖК РФ</w:t>
        </w:r>
      </w:hyperlink>
      <w:r w:rsidRPr="00455AF0">
        <w:rPr>
          <w:sz w:val="28"/>
          <w:szCs w:val="28"/>
        </w:rPr>
        <w:t>, начиная с 1 июля 2021 г. для проведения контрольных (надзорных) мероприятий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возможных нарушениях обязательных требований, указанных в части 1 настоящей статьи, органы государственного жилищного надзора</w:t>
      </w:r>
      <w:proofErr w:type="gramEnd"/>
      <w:r w:rsidRPr="00455AF0">
        <w:rPr>
          <w:sz w:val="28"/>
          <w:szCs w:val="28"/>
        </w:rPr>
        <w:t>, органы муниципального контроля разрабатывают и утверждают индикаторы риска нарушения обязательных требований. Типовые индикаторы риска нарушения обязательных требований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455AF0" w:rsidRPr="00455AF0" w:rsidRDefault="00455AF0" w:rsidP="00455AF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Обращаем внимание,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 </w:t>
      </w:r>
      <w:hyperlink r:id="rId16" w:history="1">
        <w:r w:rsidRPr="00455AF0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постановлением Правительства Российской Федерации от 13 августа 1997 г. N 1009</w:t>
        </w:r>
      </w:hyperlink>
      <w:r w:rsidRPr="00455AF0">
        <w:rPr>
          <w:sz w:val="28"/>
          <w:szCs w:val="28"/>
        </w:rPr>
        <w:t>, письма федеральных органов исполнительной власти не являются нормативными правовыми актами.</w:t>
      </w:r>
    </w:p>
    <w:p w:rsidR="00455AF0" w:rsidRPr="00455AF0" w:rsidRDefault="00455AF0" w:rsidP="00455AF0">
      <w:pPr>
        <w:pStyle w:val="a3"/>
        <w:spacing w:before="0" w:beforeAutospacing="0" w:after="199" w:afterAutospacing="0"/>
        <w:jc w:val="both"/>
        <w:textAlignment w:val="baseline"/>
        <w:rPr>
          <w:sz w:val="28"/>
          <w:szCs w:val="28"/>
        </w:rPr>
      </w:pPr>
      <w:proofErr w:type="gramStart"/>
      <w:r w:rsidRPr="00455AF0">
        <w:rPr>
          <w:sz w:val="28"/>
          <w:szCs w:val="28"/>
        </w:rPr>
        <w:t>Таким образом,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являются позицией Минстроя России,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  <w:proofErr w:type="gramEnd"/>
    </w:p>
    <w:p w:rsidR="00455AF0" w:rsidRPr="00455AF0" w:rsidRDefault="00455AF0" w:rsidP="00E42A14">
      <w:pPr>
        <w:pStyle w:val="pr"/>
        <w:spacing w:before="0" w:beforeAutospacing="0" w:after="199" w:afterAutospacing="0"/>
        <w:textAlignment w:val="baseline"/>
        <w:rPr>
          <w:sz w:val="28"/>
          <w:szCs w:val="28"/>
        </w:rPr>
      </w:pPr>
      <w:r w:rsidRPr="00455AF0">
        <w:rPr>
          <w:sz w:val="28"/>
          <w:szCs w:val="28"/>
        </w:rPr>
        <w:t>Начальник отдела</w:t>
      </w:r>
      <w:r w:rsidRPr="00455AF0">
        <w:rPr>
          <w:sz w:val="28"/>
          <w:szCs w:val="28"/>
        </w:rPr>
        <w:br/>
      </w:r>
      <w:proofErr w:type="gramStart"/>
      <w:r w:rsidRPr="00455AF0">
        <w:rPr>
          <w:sz w:val="28"/>
          <w:szCs w:val="28"/>
        </w:rPr>
        <w:t>контроля за</w:t>
      </w:r>
      <w:proofErr w:type="gramEnd"/>
      <w:r w:rsidRPr="00455AF0">
        <w:rPr>
          <w:sz w:val="28"/>
          <w:szCs w:val="28"/>
        </w:rPr>
        <w:t xml:space="preserve"> деятельностью органов</w:t>
      </w:r>
      <w:bookmarkStart w:id="0" w:name="_GoBack"/>
      <w:bookmarkEnd w:id="0"/>
      <w:r w:rsidRPr="00455AF0">
        <w:rPr>
          <w:sz w:val="28"/>
          <w:szCs w:val="28"/>
        </w:rPr>
        <w:br/>
        <w:t>государственного жилищного надзора</w:t>
      </w:r>
      <w:r w:rsidRPr="00455AF0">
        <w:rPr>
          <w:sz w:val="28"/>
          <w:szCs w:val="28"/>
        </w:rPr>
        <w:br/>
        <w:t>О.А.НОВИКОВ</w:t>
      </w:r>
    </w:p>
    <w:p w:rsidR="005D5211" w:rsidRDefault="005D5211" w:rsidP="00E42A14"/>
    <w:sectPr w:rsidR="005D5211" w:rsidSect="00E42A1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0D"/>
    <w:rsid w:val="003264F7"/>
    <w:rsid w:val="00455AF0"/>
    <w:rsid w:val="005D5211"/>
    <w:rsid w:val="007612AF"/>
    <w:rsid w:val="00E42A14"/>
    <w:rsid w:val="00F8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AF0"/>
    <w:rPr>
      <w:color w:val="0000FF"/>
      <w:u w:val="single"/>
    </w:rPr>
  </w:style>
  <w:style w:type="paragraph" w:customStyle="1" w:styleId="pr">
    <w:name w:val="pr"/>
    <w:basedOn w:val="a"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AF0"/>
    <w:rPr>
      <w:color w:val="0000FF"/>
      <w:u w:val="single"/>
    </w:rPr>
  </w:style>
  <w:style w:type="paragraph" w:customStyle="1" w:styleId="pr">
    <w:name w:val="pr"/>
    <w:basedOn w:val="a"/>
    <w:rsid w:val="0045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Zhilischnyy-kodeks/Razdel-I/Glava-2/Statya-19/" TargetMode="External"/><Relationship Id="rId13" Type="http://schemas.openxmlformats.org/officeDocument/2006/relationships/hyperlink" Target="https://rulaws.ru/Zhilischnyy-kodeks/Razdel-I/Glava-2/Statya-2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laws.ru/Zhilischnyy-kodeks/Razdel-I/Glava-1/Statya-14/" TargetMode="External"/><Relationship Id="rId12" Type="http://schemas.openxmlformats.org/officeDocument/2006/relationships/hyperlink" Target="https://rulaws.ru/Zhilischnyy-kodeks/Razdel-I/Glava-2/Statya-20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laws.ru/goverment/Postanovlenie-Pravitelstva-RF-ot-13.08.1997-N-1009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laws.ru/Zhilischnyy-kodeks/" TargetMode="External"/><Relationship Id="rId11" Type="http://schemas.openxmlformats.org/officeDocument/2006/relationships/hyperlink" Target="https://rulaws.ru/Zhilischnyy-kodeks/Razdel-I/Glava-2/Statya-20/" TargetMode="External"/><Relationship Id="rId5" Type="http://schemas.openxmlformats.org/officeDocument/2006/relationships/hyperlink" Target="https://rulaws.ru/Zhilischnyy-kodeks/Razdel-I/Glava-1/Statya-2/" TargetMode="External"/><Relationship Id="rId15" Type="http://schemas.openxmlformats.org/officeDocument/2006/relationships/hyperlink" Target="https://rulaws.ru/Zhilischnyy-kodeks/Razdel-I/Glava-2/Statya-20/" TargetMode="External"/><Relationship Id="rId10" Type="http://schemas.openxmlformats.org/officeDocument/2006/relationships/hyperlink" Target="https://rulaws.ru/Zhilischnyy-kodeks/Razdel-I/Glava-2/Statya-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Zhilischnyy-kodeks/Razdel-I/Glava-2/Statya-20/" TargetMode="External"/><Relationship Id="rId14" Type="http://schemas.openxmlformats.org/officeDocument/2006/relationships/hyperlink" Target="https://rulaws.ru/Zhilischnyy-kodeks/Razdel-I/Glava-2/Statya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2024-01-25T11:28:00Z</cp:lastPrinted>
  <dcterms:created xsi:type="dcterms:W3CDTF">2024-01-25T11:28:00Z</dcterms:created>
  <dcterms:modified xsi:type="dcterms:W3CDTF">2025-01-29T05:53:00Z</dcterms:modified>
</cp:coreProperties>
</file>