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5171" w:rsidRPr="00E15171" w:rsidRDefault="00E15171" w:rsidP="00E15171">
      <w:pPr>
        <w:pBdr>
          <w:bottom w:val="single" w:sz="6" w:space="2" w:color="DDDDDD"/>
        </w:pBdr>
        <w:shd w:val="clear" w:color="auto" w:fill="FFFFFF"/>
        <w:spacing w:after="0" w:line="240" w:lineRule="auto"/>
        <w:jc w:val="center"/>
        <w:outlineLvl w:val="0"/>
        <w:rPr>
          <w:rFonts w:ascii="Arial" w:eastAsia="Times New Roman" w:hAnsi="Arial" w:cs="Arial"/>
          <w:b/>
          <w:bCs/>
          <w:caps/>
          <w:color w:val="0B963F"/>
          <w:kern w:val="36"/>
          <w:sz w:val="24"/>
          <w:szCs w:val="24"/>
          <w:lang w:eastAsia="ru-RU"/>
        </w:rPr>
      </w:pPr>
      <w:r w:rsidRPr="00E15171">
        <w:rPr>
          <w:rFonts w:ascii="Arial" w:eastAsia="Times New Roman" w:hAnsi="Arial" w:cs="Arial"/>
          <w:b/>
          <w:bCs/>
          <w:caps/>
          <w:color w:val="0B963F"/>
          <w:kern w:val="36"/>
          <w:sz w:val="24"/>
          <w:szCs w:val="24"/>
          <w:lang w:eastAsia="ru-RU"/>
        </w:rPr>
        <w:t>Разъяснения Минстроя России по вопросам ВДГО и ВКГО.</w:t>
      </w:r>
    </w:p>
    <w:p w:rsidR="00E15171" w:rsidRPr="00E15171" w:rsidRDefault="00E15171" w:rsidP="00E15171">
      <w:pPr>
        <w:shd w:val="clear" w:color="auto" w:fill="FFFFFF"/>
        <w:spacing w:after="0" w:line="285" w:lineRule="atLeast"/>
        <w:jc w:val="center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E15171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МИНИСТЕРСТВО СТРОИТЕЛЬСТВА И ЖИЛИЩНО-КОММУНАЛЬНОГО</w:t>
      </w:r>
      <w:r w:rsidRPr="00E15171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ХОЗЯЙСТВА РОССИЙСКОЙ ФЕДЕРАЦИИ</w:t>
      </w:r>
      <w:r w:rsidRPr="00E15171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E15171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ПИСЬМО</w:t>
      </w:r>
      <w:bookmarkStart w:id="0" w:name="_GoBack"/>
      <w:bookmarkEnd w:id="0"/>
      <w:r w:rsidRPr="00E15171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от 16 декабря 2023 г. № 78494-АЕ/04</w:t>
      </w:r>
    </w:p>
    <w:p w:rsidR="00E15171" w:rsidRPr="00E15171" w:rsidRDefault="00E15171" w:rsidP="00E15171">
      <w:pPr>
        <w:shd w:val="clear" w:color="auto" w:fill="FFFFFF"/>
        <w:spacing w:line="285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15171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  <w:proofErr w:type="gramStart"/>
      <w:r w:rsidRPr="00E1517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Министерство строительства и жилищно-коммунального хозяйства Российской Федерации в связи со вступлением в силу с 1 сентября 2023 года Федерального закона от 18 марта 2023 г. № 71-ФЗ «О внесении изменений в статьи 2 и 3 Федерального закона «О газоснабжении в Российской Федерации» и Жилищный кодекс Российской Федерации» (далее - Закон № 71-ФЗ и ЖК РФ) обращает внимание на следующее.</w:t>
      </w:r>
      <w:proofErr w:type="gramEnd"/>
      <w:r w:rsidRPr="00E15171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  <w:proofErr w:type="gramStart"/>
      <w:r w:rsidRPr="00E1517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 развитие норм Закона № 71-ФЗ принят ряд нормативных актов:</w:t>
      </w:r>
      <w:r w:rsidRPr="00E15171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- постановление Правительства Российской Федерации от 29 мая 2023 г. № 859 «О внесении изменений в некоторые акты Правительства Российской Федерации и признании утратившим силу подпункта «ж» пункта 4 изменений, которые вносятся в акты Правительства Российской Федерации по вопросам обеспечения безопасности при использовании и содержании внутридомового и внутриквартирного газового оборудования, утвержденных постановлением Правительства</w:t>
      </w:r>
      <w:proofErr w:type="gramEnd"/>
      <w:r w:rsidRPr="00E1517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Российской Федерации от 9 сентября 2017 г. № 1091» (далее - постановление № 859);</w:t>
      </w:r>
      <w:r w:rsidRPr="00E15171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- приказ Минстроя России от 29 мая 2023 г. № 387/</w:t>
      </w:r>
      <w:proofErr w:type="spellStart"/>
      <w:proofErr w:type="gramStart"/>
      <w:r w:rsidRPr="00E1517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пр</w:t>
      </w:r>
      <w:proofErr w:type="spellEnd"/>
      <w:proofErr w:type="gramEnd"/>
      <w:r w:rsidRPr="00E1517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«Об утверждении Методических указаний по расчету размера платы за техническое обслуживание внутриквартирного газового оборудования в многоквартирном доме, а также за техническое обслуживание внутридомового газового оборудования в жилом доме» (зарегистрирован Министерством юстиции Российской Федерации 1 июня 2023 г., регистрационный № 73682);</w:t>
      </w:r>
      <w:r w:rsidRPr="00E15171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- приказ Минстроя России от 29 мая 2023 г. № 388/</w:t>
      </w:r>
      <w:proofErr w:type="spellStart"/>
      <w:proofErr w:type="gramStart"/>
      <w:r w:rsidRPr="00E1517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пр</w:t>
      </w:r>
      <w:proofErr w:type="spellEnd"/>
      <w:proofErr w:type="gramEnd"/>
      <w:r w:rsidRPr="00E1517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«Об утверждении типовых форм договора о техническом обслуживании и ремонте внутридомового газового оборудования в многоквартирном доме, договора о техническом обслуживании внутриквартирного газового оборудования в многоквартирном доме, договора о техническом обслуживании внутридомового газового оборудования в жилом доме» (зарегистрирован Министерством юстиции Российской Федерации 1 июня 2023 г., регистрационный № 73683) (далее - приказ Минстроя России № 388/</w:t>
      </w:r>
      <w:proofErr w:type="spellStart"/>
      <w:proofErr w:type="gramStart"/>
      <w:r w:rsidRPr="00E1517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пр</w:t>
      </w:r>
      <w:proofErr w:type="spellEnd"/>
      <w:proofErr w:type="gramEnd"/>
      <w:r w:rsidRPr="00E1517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).</w:t>
      </w:r>
      <w:r w:rsidRPr="00E15171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1. Порядок определения размера платы за содержание жилого помещения (в том числе платы за содержание и ремонт общего имущества в многоквартирном доме (далее - МКД), в состав которого входит внутридомовое газовое оборудование (далее - ВДГО) в МКД) зависит от способа управления МКД, исчерпывающий перечень которых определен частью 2 статьи 161 ЖК РФ.</w:t>
      </w:r>
      <w:r w:rsidRPr="00E15171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  <w:proofErr w:type="gramStart"/>
      <w:r w:rsidRPr="00E1517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 силу части 7 статьи 156 ЖК РФ размер платы за содержание жилого помещения в МКД, в котором не созданы товарищество собственников жилья либо жилищный кооператив или иной специализированный потребительский кооператив (далее соответственно - ТСЖ, ЖК), определяется на общем собрании собственников помещений в таком доме, которое проводится в порядке, установленном статьями 45 - 48 ЖК РФ.</w:t>
      </w:r>
      <w:proofErr w:type="gramEnd"/>
      <w:r w:rsidRPr="00E15171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В соответствии с частями 1 и 2 статьи 162 ЖК РФ при управлении МКД управляющей организацией между такой управляющей организацией и собственниками помещений заключается договор управления МКД.</w:t>
      </w:r>
      <w:r w:rsidRPr="00E15171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Согласно части 1 статьи 162 ЖК РФ при выборе управляющей организации общим собранием собственников помещений в МКД договор управления МКД заключается на условиях, указанных в решении данного общего собрания.</w:t>
      </w:r>
      <w:r w:rsidRPr="00E15171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  <w:proofErr w:type="gramStart"/>
      <w:r w:rsidRPr="00E1517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Пунктом 31 Правил содержания общего имущества в многоквартирном доме, утвержденных Постановлением Правительства Российской Федерации от 13 августа 2006 г. № 491 (далее - </w:t>
      </w:r>
      <w:r w:rsidRPr="00E15171">
        <w:rPr>
          <w:rFonts w:ascii="Arial" w:eastAsia="Times New Roman" w:hAnsi="Arial" w:cs="Arial"/>
          <w:color w:val="000000"/>
          <w:sz w:val="21"/>
          <w:szCs w:val="21"/>
          <w:lang w:eastAsia="ru-RU"/>
        </w:rPr>
        <w:lastRenderedPageBreak/>
        <w:t>Правила № 491), также установлено, что размер платы за содержание жилого помещения определяется решением общего собрания собственников помещений в МКД, которое принимается на срок не менее чем один год с учетом предложений управляющей организации.</w:t>
      </w:r>
      <w:proofErr w:type="gramEnd"/>
      <w:r w:rsidRPr="00E15171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Согласно пункту 32 Правил № 491 при непосредственном управлении МКД собственниками помещений размер платы за содержание жилого помещения должен соответствовать размеру платы за услуги и работы в соответствии с договорами, заключенными собственниками помещений с лицами, оказывающими услуги (выполняющими работы) на основании решения (решений) общего собрания собственников помещений в МКД.</w:t>
      </w:r>
      <w:r w:rsidRPr="00E15171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  <w:proofErr w:type="gramStart"/>
      <w:r w:rsidRPr="00E1517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 силу части 8 статьи 156 ЖК РФ и пункта 33 Правил № 491 размер обязательных платежей (взносов), связанных с оплатой расходов на содержание и ремонт общего имущества, для членов ТСЖ или ЖК, а также для собственников помещений МКД, не являющихся членами указанных организаций, определяется органами управления ТСЖ (ЖК) на основе утвержденной сметы доходов и расходов на соответствующий год.</w:t>
      </w:r>
      <w:proofErr w:type="gramEnd"/>
      <w:r w:rsidRPr="00E15171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  <w:proofErr w:type="gramStart"/>
      <w:r w:rsidRPr="00E1517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Отмечается, что изменение размера платы за содержание жилого помещения (в том числе платы за содержание и ремонт общего имущества в МКД, в состав которого входит ВДГО в МКД) невозможно без соответствующего решения общего собрания собственников помещений в МКД в случаях управления МКД управляющей организацией или непосредственного управления МКД собственниками помещений, либо без решения общего собрания членов ТСЖ (ЖК) при управлении</w:t>
      </w:r>
      <w:proofErr w:type="gramEnd"/>
      <w:r w:rsidRPr="00E1517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МКД силами ТСЖ (ЖК).</w:t>
      </w:r>
      <w:r w:rsidRPr="00E15171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2. Законом № 71-ФЗ и постановлением № 859 газораспределительные организации наделяются исключительным правом на техническое обслуживание и ремонт ВДГО в МКД, техническое обслуживание внутриквартирного газового оборудования (далее - ВКГО) в МКД и техническое обслуживание ВДГО в жилом доме (домовладении) на основании соответствующих договоров, типовые формы которых утверждены приказом Минстроя России № 388/пр.</w:t>
      </w:r>
      <w:r w:rsidRPr="00E15171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В этой связи газораспределительные организации в части предоставления услуг по техническому обслуживанию ВДГО и ВКГО обладают признаками субъекта естественной монополии, установленными статьей 3 Федерального закона от 17 августа 1995 г. № 147-ФЗ «О естественных монополиях».</w:t>
      </w:r>
      <w:r w:rsidRPr="00E15171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  <w:proofErr w:type="gramStart"/>
      <w:r w:rsidRPr="00E1517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 соответствии с упомянутой нормой субъектом естественной монополии является хозяйствующий субъект, занятый производством (реализацией) товаров в условиях естественной монополии, под которой понимается состояние товарного рынка, при котором удовлетворение спроса на этом рынке эффективнее в отсутствие конкуренции в силу технологических особенностей производства (в связи с существенным понижением издержек производства на единицу товара по мере увеличения объема производства), а товары, производимые субъектами</w:t>
      </w:r>
      <w:proofErr w:type="gramEnd"/>
      <w:r w:rsidRPr="00E1517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естественной монополии, не могут быть заменены в потреблении другими товарами, в </w:t>
      </w:r>
      <w:proofErr w:type="gramStart"/>
      <w:r w:rsidRPr="00E1517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связи</w:t>
      </w:r>
      <w:proofErr w:type="gramEnd"/>
      <w:r w:rsidRPr="00E1517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с чем спрос на данном товарном рынке на товары, производимые субъектами естественных монополий, в меньшей степени зависит от изменения цены на этот товар, чем спрос на другие виды товаров.</w:t>
      </w:r>
      <w:r w:rsidRPr="00E15171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  <w:proofErr w:type="gramStart"/>
      <w:r w:rsidRPr="00E1517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При этом положение газораспределительных организаций на рынке предоставления услуг по техническому обслуживанию ВДГО и ВКГО обладает признаками доминирующего положения, установленными статьей 5 Федерального закона от 26 июля 2006 г. № 135-ФЗ «О защите конкуренции», согласно которой доминирующим положением признается положение хозяйствующего субъекта (группы лиц) или нескольких хозяйствующих субъектов (групп лиц) на рынке определенного товара, дающее такому хозяйствующему субъекту (группе лиц) или</w:t>
      </w:r>
      <w:proofErr w:type="gramEnd"/>
      <w:r w:rsidRPr="00E1517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таким хозяйствующим субъектам (группам лиц) возможность оказывать решающее влияние на общие условия обращения товара на соответствующем товарном рынке, и (или) устранять с этого товарного рынка других хозяйствующих субъектов, и (или) затруднять доступ на этот товарный рынок другим хозяйствующим субъектам.</w:t>
      </w:r>
      <w:r w:rsidRPr="00E15171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  <w:proofErr w:type="gramStart"/>
      <w:r w:rsidRPr="00E1517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Отмечается, что в силу пункта 1 Положения о Федеральной антимонопольной службе, </w:t>
      </w:r>
      <w:r w:rsidRPr="00E15171">
        <w:rPr>
          <w:rFonts w:ascii="Arial" w:eastAsia="Times New Roman" w:hAnsi="Arial" w:cs="Arial"/>
          <w:color w:val="000000"/>
          <w:sz w:val="21"/>
          <w:szCs w:val="21"/>
          <w:lang w:eastAsia="ru-RU"/>
        </w:rPr>
        <w:lastRenderedPageBreak/>
        <w:t>утвержденного постановлением Правительства Российской Федерации от 30 июня 2004 г. № 331 ФАС России является уполномоченным федеральным органом исполнительной власти, осуществляющим в числе прочего функции по принятию нормативных правовых актов и контролю за соблюдением антимонопольного законодательства, законодательства в сфере деятельности субъектов естественных монополий, в сфере государственного регулирования цен (тарифов) на</w:t>
      </w:r>
      <w:proofErr w:type="gramEnd"/>
      <w:r w:rsidRPr="00E1517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товары (услуги).</w:t>
      </w:r>
      <w:r w:rsidRPr="00E15171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Злоупотребление доминирующим положением на товарном рынке является административным правонарушением, предусмотренным статьей 14.31 Кодекса Российской Федерации об административных правонарушениях.</w:t>
      </w:r>
      <w:r w:rsidRPr="00E15171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В этой связи по вопросам неправомерного завышения газораспределительными организациями платы по техническому обслуживанию ВДГО и ВКГО рекомендуем обращаться в ФАС России.</w:t>
      </w:r>
      <w:r w:rsidRPr="00E15171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 xml:space="preserve">3. </w:t>
      </w:r>
      <w:proofErr w:type="gramStart"/>
      <w:r w:rsidRPr="00E1517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Подпунктом «в» пункта 44 Правил пользования газом в части обеспечения безопасности при использовании и содержании внутридомового и внутриквартирного газового оборудования при предоставлении коммунальной услуги по газоснабжению, утвержденных Постановлением Правительства Российской Федерации от 14 мая 2013 г. № 410 «О мерах по обеспечению безопасности при использовании и содержании внутридомового и внутриквартирного газового оборудования» (далее - Правила № 410), установлено, что исполнитель работ (услуг) по</w:t>
      </w:r>
      <w:proofErr w:type="gramEnd"/>
      <w:r w:rsidRPr="00E1517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proofErr w:type="gramStart"/>
      <w:r w:rsidRPr="00E1517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техническому обслуживанию ВДГО и (или) ВКГО вправе привлекать организации для исполнения договора о техническом обслуживании и ремонте ВДГО в МКД, договора о техническом обслуживании ВКГО в МКД или договора о техническом обслуживании ВДГО в жилом доме (домовладении) при сохранении ответственности исполнителя перед заказчиком за надлежащее и своевременное выполнение работ (оказание услуг) по указанным договорам.</w:t>
      </w:r>
      <w:proofErr w:type="gramEnd"/>
      <w:r w:rsidRPr="00E15171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Аналогичное положение предусмотрено в пункте 5.3 каждой из типовых форм договоров, утвержденных приказом Минстроя России /№ 388/пр.</w:t>
      </w:r>
      <w:r w:rsidRPr="00E15171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Отмечается, что действующим законодательством не ограничен перечень работ (услуг) по техническому обслуживанию ВДГО и (или) ВКГО, исполнитель которых вправе привлекать организации для исполнения соответствующих договоров.</w:t>
      </w:r>
      <w:r w:rsidRPr="00E15171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 xml:space="preserve">4. </w:t>
      </w:r>
      <w:proofErr w:type="gramStart"/>
      <w:r w:rsidRPr="00E1517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Абзацем 2 пункта 16 Правил № 410 предусмотрено, что в случае, когда в качестве топлива используются сжиженные углеводородные газы, специализированной организацией, с которой может быть заключен договор о техническом обслуживании и ремонте ВДГО в МКД, договор о техническом обслуживании ВКГО в МКД или договор о техническом обслуживании ВДГО в жилом доме (домовладении), может выступать любая газораспределительная организация, осуществляющая транспортировку газа по</w:t>
      </w:r>
      <w:proofErr w:type="gramEnd"/>
      <w:r w:rsidRPr="00E1517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газораспределительным сетям.</w:t>
      </w:r>
      <w:r w:rsidRPr="00E15171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5. Законом № 71-ФЗ предусмотрены переходные положения.</w:t>
      </w:r>
      <w:r w:rsidRPr="00E15171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Так, договоры о техническом обслуживании ВКГО в МКД, заключенные до дня вступления в силу Федерального закона № 71-ФЗ, действуют до их прекращения или расторжения, но не позднее 1 января 2024 г. (пункт 3 статьи 3 Закона № 71-ФЗ).</w:t>
      </w:r>
      <w:r w:rsidRPr="00E15171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Договоры о техническом обслуживании и ремонте ВДГО в МКД, заключенные до дня вступления в силу Федерального закона № 71-ФЗ, должны быть приведены в соответствие с положениями ЖК РФ до 1 января 2024 г. (пункт 4 статьи 3 Закона № 71-ФЗ).</w:t>
      </w:r>
      <w:r w:rsidRPr="00E15171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Договоры о техническом обслуживании ВДГО, заключенные собственниками жилых домов со специализированными организациями до дня вступления в силу Закона № 71-ФЗ, действуют до их прекращения или расторжения (пункт 2 статьи 3 Закона № 71-ФЗ).</w:t>
      </w:r>
      <w:r w:rsidRPr="00E15171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  <w:proofErr w:type="gramStart"/>
      <w:r w:rsidRPr="00E1517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 соответствии с пунктом 8 Правил № 410 для заключения договора о техническом обслуживании и ремонте ВДГО в МКД, договора о техническом обслуживании ВКГО в МКД, договора о техническом обслуживании ВДГО в жилом доме (домовладении) заявитель, имеющий намерение выступить заказчиком по соответствующему договору, направляет в специализированную организацию заявку (оферту) в письменной форме.</w:t>
      </w:r>
      <w:proofErr w:type="gramEnd"/>
      <w:r w:rsidRPr="00E15171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 xml:space="preserve">Таким образом, обязанность по заключению договоров о техническом обслуживании и </w:t>
      </w:r>
      <w:proofErr w:type="gramStart"/>
      <w:r w:rsidRPr="00E15171">
        <w:rPr>
          <w:rFonts w:ascii="Arial" w:eastAsia="Times New Roman" w:hAnsi="Arial" w:cs="Arial"/>
          <w:color w:val="000000"/>
          <w:sz w:val="21"/>
          <w:szCs w:val="21"/>
          <w:lang w:eastAsia="ru-RU"/>
        </w:rPr>
        <w:lastRenderedPageBreak/>
        <w:t>ремонте</w:t>
      </w:r>
      <w:proofErr w:type="gramEnd"/>
      <w:r w:rsidRPr="00E1517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газового оборудования в МКД возлагается на лицо, эксплуатирующее соответствующее газовое оборудование.</w:t>
      </w:r>
      <w:r w:rsidRPr="00E15171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При этом в силу пункта 30 Правил № 410 специализированная организация вправе по собственной инициативе направить заявку (оферту) заявителю (заказчику) о заключении договора о техническом обслуживании и ремонте ВДГО в МКД, договора о техническом обслуживании ВКГО в МКД или договора о техническом обслуживании ВДГО в жилом доме (домовладении).</w:t>
      </w:r>
      <w:r w:rsidRPr="00E15171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Специализированная организация в целях направления заявителю (заказчику) указанной заявки (оферты) может привлекать третьих лиц в порядке, предусмотренном законодательством Российской Федерации.</w:t>
      </w:r>
      <w:r w:rsidRPr="00E15171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  <w:proofErr w:type="gramStart"/>
      <w:r w:rsidRPr="00E1517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Во исполнение пункта 31 Правил № 410 в случае если сторона, направившая заявку (оферту), в течение 30 дней со дня получения этой заявки (оферты) другой стороной не получила от нее подписанный договор о техническом обслуживании и ремонте ВДГО в МКД, договор о техническом обслуживании ВКГО в МКД или договор о техническом обслуживании ВДГО в жилом доме (домовладении), или ответ о согласии</w:t>
      </w:r>
      <w:proofErr w:type="gramEnd"/>
      <w:r w:rsidRPr="00E1517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заключить соответствующий договор, или письменный мотивированный отказ от заключения соответствующего договора, а также в случае получения отказа от заключения соответствующего договора, тогда сторона, направившая заявку (оферту), вправе обратиться в суд с требованием о понуждении другой стороны, для которой заключение соответствующего договора является обязательным, к заключению договора.</w:t>
      </w:r>
      <w:r w:rsidRPr="00E15171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 xml:space="preserve">6. </w:t>
      </w:r>
      <w:proofErr w:type="gramStart"/>
      <w:r w:rsidRPr="00E1517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Учитывая срок окончания переходных положений 1 января 2024 года, а также высокий риск неисполнения требований Закона № 71-ФЗ, способный повлечь за собой прекращение газоснабжения существенной части потребителей, рост социальной напряженности и экономический ущерб поставщикам газа, прошу принять меры, направленные на обеспечение исполнения требований Закона № 71-ФЗ, в том числе провести разъяснительную работу с представителями газораспределительных организаций, органов местного самоуправления и лиц, осуществляющих</w:t>
      </w:r>
      <w:proofErr w:type="gramEnd"/>
      <w:r w:rsidRPr="00E1517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proofErr w:type="gramStart"/>
      <w:r w:rsidRPr="00E1517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деятельность по управлению МКД, о необходимости заключения договоров, соответствующих новым требованиям, в срок до 1 января 2024 года, и возможных последствиях неисполнения указанных обязанностей (вплоть до прекращения газоснабжения по причине отсутствия договоров на техническое обслуживание газового оборудования), усилить контроль темпов перехода на новую форму договоров и обеспечить своевременное предоставление корректных данных еженедельного мониторинга в соответствии с письмом Минстроя России от</w:t>
      </w:r>
      <w:proofErr w:type="gramEnd"/>
      <w:r w:rsidRPr="00E1517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25 августа 2023 г. № 51974 АЕ/04.</w:t>
      </w:r>
      <w:r w:rsidRPr="00E15171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  <w:r w:rsidRPr="00E15171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А.В.ЕРЕСЬКО</w:t>
      </w:r>
    </w:p>
    <w:p w:rsidR="001D677F" w:rsidRDefault="001D677F"/>
    <w:sectPr w:rsidR="001D677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7DC6"/>
    <w:rsid w:val="00177DC6"/>
    <w:rsid w:val="001D677F"/>
    <w:rsid w:val="00E151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E1517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1517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E151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E1517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1517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E151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1202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195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1628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2804389">
                  <w:marLeft w:val="0"/>
                  <w:marRight w:val="0"/>
                  <w:marTop w:val="15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44634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2023</Words>
  <Characters>11533</Characters>
  <Application>Microsoft Office Word</Application>
  <DocSecurity>0</DocSecurity>
  <Lines>96</Lines>
  <Paragraphs>27</Paragraphs>
  <ScaleCrop>false</ScaleCrop>
  <Company/>
  <LinksUpToDate>false</LinksUpToDate>
  <CharactersWithSpaces>13529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2025-01-29T04:25:00Z</dcterms:created>
  <dcterms:modified xsi:type="dcterms:W3CDTF">2025-01-29T04:26:00Z</dcterms:modified>
</cp:coreProperties>
</file>